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A3" w:rsidRDefault="008545A3" w:rsidP="00023B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45A3" w:rsidRDefault="008545A3" w:rsidP="00023B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1EF4" w:rsidRDefault="00421EF4" w:rsidP="00421EF4">
      <w:pPr>
        <w:jc w:val="center"/>
        <w:rPr>
          <w:rFonts w:ascii="Times New Roman" w:hAnsi="Times New Roman"/>
          <w:b/>
          <w:sz w:val="28"/>
          <w:szCs w:val="28"/>
        </w:rPr>
      </w:pPr>
      <w:r w:rsidRPr="00BD629C">
        <w:rPr>
          <w:rFonts w:ascii="Times New Roman" w:hAnsi="Times New Roman"/>
          <w:b/>
          <w:sz w:val="28"/>
          <w:szCs w:val="28"/>
        </w:rPr>
        <w:t>Типовые вопросы и ошибки</w:t>
      </w:r>
      <w:r>
        <w:rPr>
          <w:rFonts w:ascii="Times New Roman" w:hAnsi="Times New Roman"/>
          <w:b/>
          <w:sz w:val="28"/>
          <w:szCs w:val="28"/>
        </w:rPr>
        <w:t xml:space="preserve"> при проведении проверки достоверности определения </w:t>
      </w:r>
    </w:p>
    <w:p w:rsidR="00421EF4" w:rsidRPr="00BD629C" w:rsidRDefault="00421EF4" w:rsidP="00421E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начальной (максимальной) цены (НМЦ)</w:t>
      </w:r>
    </w:p>
    <w:p w:rsidR="00BD629C" w:rsidRDefault="00BD629C"/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8647"/>
      </w:tblGrid>
      <w:tr w:rsidR="00D6337D" w:rsidRPr="00A77415" w:rsidTr="00023B6C"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37D" w:rsidRPr="00A77415" w:rsidRDefault="00D6337D" w:rsidP="00BD6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15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6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337D" w:rsidRPr="00A77415" w:rsidRDefault="00D6337D" w:rsidP="00BD6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415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Каким документом установлен порядок 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взаимодействия Зая</w:t>
            </w:r>
            <w:r w:rsidR="005D17D8">
              <w:rPr>
                <w:rFonts w:ascii="Times New Roman" w:hAnsi="Times New Roman"/>
                <w:sz w:val="28"/>
                <w:szCs w:val="28"/>
              </w:rPr>
              <w:t>вителя и экспертной организации и  перечень документов, представляемых на проверку НМЦ?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5A3" w:rsidRDefault="008545A3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Регламентом проведения проверки достоверности определения начальной (максимальной) цены.</w:t>
            </w:r>
          </w:p>
          <w:p w:rsidR="00BD629C" w:rsidRDefault="00C719E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 по 44-ФЗ - </w:t>
            </w:r>
            <w:r w:rsidR="002A2211">
              <w:rPr>
                <w:rFonts w:ascii="Times New Roman" w:hAnsi="Times New Roman"/>
                <w:sz w:val="28"/>
                <w:szCs w:val="28"/>
              </w:rPr>
              <w:t>Распоряжение ДЭПР от 15.07.2020</w:t>
            </w:r>
            <w:r w:rsidR="00BD629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2A2211">
              <w:rPr>
                <w:rFonts w:ascii="Times New Roman" w:hAnsi="Times New Roman"/>
                <w:sz w:val="28"/>
                <w:szCs w:val="28"/>
              </w:rPr>
              <w:t>1</w:t>
            </w:r>
            <w:r w:rsidR="00BD629C">
              <w:rPr>
                <w:rFonts w:ascii="Times New Roman" w:hAnsi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629C" w:rsidRDefault="00C719E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 по 223-ФЗ - </w:t>
            </w:r>
            <w:r w:rsidR="00BD629C">
              <w:rPr>
                <w:rFonts w:ascii="Times New Roman" w:hAnsi="Times New Roman"/>
                <w:sz w:val="28"/>
                <w:szCs w:val="28"/>
              </w:rPr>
              <w:t>Распоряжение ДЭ</w:t>
            </w:r>
            <w:r w:rsidR="002A2211">
              <w:rPr>
                <w:rFonts w:ascii="Times New Roman" w:hAnsi="Times New Roman"/>
                <w:sz w:val="28"/>
                <w:szCs w:val="28"/>
              </w:rPr>
              <w:t>ПР от 27.07.2020 № 12</w:t>
            </w:r>
            <w:r>
              <w:rPr>
                <w:rFonts w:ascii="Times New Roman" w:hAnsi="Times New Roman"/>
                <w:sz w:val="28"/>
                <w:szCs w:val="28"/>
              </w:rPr>
              <w:t>-Р.</w:t>
            </w:r>
          </w:p>
          <w:p w:rsidR="005D17D8" w:rsidRDefault="005D17D8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совместных закупок представляется документ о совместных торгах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82F06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F06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Каков порядок приостановки проведения проверки достоверности НМЦ?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B9" w:rsidRPr="00AC75B9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C75B9" w:rsidRPr="00AC75B9">
              <w:rPr>
                <w:rFonts w:ascii="Times New Roman" w:hAnsi="Times New Roman"/>
                <w:sz w:val="28"/>
                <w:szCs w:val="28"/>
              </w:rPr>
              <w:t>В случае наличия замечаний, а т</w:t>
            </w:r>
            <w:bookmarkStart w:id="0" w:name="_GoBack"/>
            <w:bookmarkEnd w:id="0"/>
            <w:r w:rsidR="00AC75B9" w:rsidRPr="00AC75B9">
              <w:rPr>
                <w:rFonts w:ascii="Times New Roman" w:hAnsi="Times New Roman"/>
                <w:sz w:val="28"/>
                <w:szCs w:val="28"/>
              </w:rPr>
              <w:t xml:space="preserve">акже отсутствия или неполноты сведений, не позволяющих выдать заключение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о достоверности определения НМЦ</w:t>
            </w:r>
            <w:r w:rsidR="00AC75B9" w:rsidRPr="00AC75B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 организация</w:t>
            </w:r>
            <w:r w:rsidR="00AC75B9" w:rsidRPr="00AC75B9">
              <w:rPr>
                <w:rFonts w:ascii="Times New Roman" w:hAnsi="Times New Roman"/>
                <w:sz w:val="28"/>
                <w:szCs w:val="28"/>
              </w:rPr>
              <w:t xml:space="preserve"> выдает Заявителю исчерпывающие замечания или запрашивает у Заявителя дополнительные и (или) уточняющие документы, расчеты.</w:t>
            </w:r>
          </w:p>
          <w:p w:rsidR="00D82F06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Срок проведения проверки приостанавливается с даты выдачи замечаний (дата выдачи замечаний считается днем рассмотрения в экспертной организации) и возобновляется с даты приема документов (дата передачи Заявителем ответа на замечания считается днем исправления замечаний у Заявителя). Если замечания были выданы, а ответы приняты в один день, указанный день считается как день исправления замечаний у Заявителя.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В случае предоставления Заявителем информации, не соответствующей замечаниям, либо неполного устранения замечаний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 организация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 вправе заново выдать замечания.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Срок проведения проверки приостанавливается с даты выдачи замечаний и возобновляется с даты приема документов.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Предельный суммарный срок проведения проверки </w:t>
            </w:r>
            <w:r w:rsidR="006C1387">
              <w:rPr>
                <w:rFonts w:ascii="Times New Roman" w:hAnsi="Times New Roman"/>
                <w:sz w:val="28"/>
                <w:szCs w:val="28"/>
              </w:rPr>
              <w:t xml:space="preserve">экспертной организацией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(с даты начала проверки до даты выдачи заключения)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устранения замечаний Заявителем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не может превышать 30 (тридцать) календарных дней.</w:t>
            </w:r>
          </w:p>
          <w:p w:rsid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>Суммарный срок устранения замечаний Заявителем (с даты выдачи замечаний до даты передачи Заявителем запрошенн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 или исправленных документов 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не должен превышать 15 (пятнадцати) календарных дней.</w:t>
            </w:r>
          </w:p>
          <w:p w:rsidR="00AC75B9" w:rsidRPr="00AC75B9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AC75B9">
              <w:rPr>
                <w:rFonts w:ascii="Times New Roman" w:hAnsi="Times New Roman"/>
                <w:sz w:val="28"/>
                <w:szCs w:val="28"/>
              </w:rPr>
              <w:t xml:space="preserve">В течение предельного суммарного срока проведения проверки 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экспертная</w:t>
            </w:r>
            <w:r w:rsidR="006C1387" w:rsidRPr="006C1387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C1387">
              <w:rPr>
                <w:rFonts w:ascii="Times New Roman" w:hAnsi="Times New Roman"/>
                <w:sz w:val="28"/>
                <w:szCs w:val="28"/>
              </w:rPr>
              <w:t>я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 xml:space="preserve"> выдает Заявителю заключение </w:t>
            </w:r>
            <w:r w:rsidR="00476CD5">
              <w:rPr>
                <w:rFonts w:ascii="Times New Roman" w:hAnsi="Times New Roman"/>
                <w:sz w:val="28"/>
                <w:szCs w:val="28"/>
              </w:rPr>
              <w:t>о достоверности определения НМЦ</w:t>
            </w:r>
            <w:r w:rsidRPr="00AC75B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75B9" w:rsidRPr="00023B6C" w:rsidRDefault="00AC75B9" w:rsidP="006F7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3B6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B6C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Каков порядок проведения повторной проверки достоверности НМЦ, какие основания для ее проведения?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3B5" w:rsidRDefault="00023B6C" w:rsidP="006F7196">
            <w:pPr>
              <w:pStyle w:val="ConsPlusNormal"/>
            </w:pPr>
            <w:r>
              <w:t xml:space="preserve">   </w:t>
            </w:r>
            <w:r w:rsidR="003013B5" w:rsidRPr="003013B5">
              <w:t>В случае внесения существенных изменений в Техническое задание</w:t>
            </w:r>
            <w:r w:rsidR="00DD4298">
              <w:t>, влияющих на НМЦ</w:t>
            </w:r>
            <w:r w:rsidR="003013B5" w:rsidRPr="003013B5">
              <w:t xml:space="preserve">, допускается </w:t>
            </w:r>
            <w:r w:rsidR="00DD4298">
              <w:t>повторная проверка НМЦ</w:t>
            </w:r>
            <w:r w:rsidR="003013B5" w:rsidRPr="003013B5">
              <w:t xml:space="preserve"> и выдача заключения по одной и той же процедуре торгов (не более одного раза).</w:t>
            </w:r>
          </w:p>
          <w:p w:rsidR="003013B5" w:rsidRDefault="003013B5" w:rsidP="006F7196">
            <w:pPr>
              <w:pStyle w:val="ConsPlusNormal"/>
            </w:pPr>
            <w:r>
              <w:t>Существенными условиями для проведения повторной проверки являются:</w:t>
            </w:r>
          </w:p>
          <w:p w:rsidR="003013B5" w:rsidRDefault="003013B5" w:rsidP="006F7196">
            <w:pPr>
              <w:pStyle w:val="ConsPlusNormal"/>
            </w:pPr>
            <w:r>
              <w:t xml:space="preserve">Изменения в Техническое задание и (или) задание на </w:t>
            </w:r>
            <w:r w:rsidR="00DD4298">
              <w:t>проектирование, влияющие на НМЦ</w:t>
            </w:r>
            <w:r>
              <w:t>:</w:t>
            </w:r>
          </w:p>
          <w:p w:rsidR="003013B5" w:rsidRDefault="003013B5" w:rsidP="006F7196">
            <w:pPr>
              <w:pStyle w:val="ConsPlusNormal"/>
            </w:pPr>
            <w:r>
              <w:t>- изменение объемов с изменением цены за единицу;</w:t>
            </w:r>
          </w:p>
          <w:p w:rsidR="003013B5" w:rsidRDefault="003013B5" w:rsidP="006F7196">
            <w:pPr>
              <w:pStyle w:val="ConsPlusNormal"/>
            </w:pPr>
            <w:r>
              <w:t>- изменение сроков с изменением цены за единицу;</w:t>
            </w:r>
          </w:p>
          <w:p w:rsidR="003013B5" w:rsidRDefault="003013B5" w:rsidP="006F7196">
            <w:pPr>
              <w:pStyle w:val="ConsPlusNormal"/>
            </w:pPr>
            <w:r>
              <w:t>- изменение номенклатуры, предусмотренной в первоначальном заключении, либо увеличение номенклатуры товаров, работ, услуг.</w:t>
            </w:r>
          </w:p>
          <w:p w:rsidR="003013B5" w:rsidRDefault="003013B5" w:rsidP="006F7196">
            <w:pPr>
              <w:pStyle w:val="ConsPlusNormal"/>
            </w:pPr>
            <w:r>
              <w:t>Изменения по ранее рассмотренной совместной закупке (добавление новых участников, разделение лотов или объединение лотов (заказчиков) в одну закупку) с изменением номенклатуры товаров, работ, услуг или с изменением цены за единицу.</w:t>
            </w:r>
          </w:p>
          <w:p w:rsidR="003013B5" w:rsidRPr="003013B5" w:rsidRDefault="003013B5" w:rsidP="006F7196">
            <w:pPr>
              <w:pStyle w:val="ConsPlusNormal"/>
            </w:pPr>
            <w:r w:rsidRPr="003013B5">
              <w:lastRenderedPageBreak/>
              <w:t xml:space="preserve">Для проведения повторной проверки Заявитель посредством ЕАИСТ направляет запрос </w:t>
            </w:r>
            <w:r w:rsidR="00763521">
              <w:t>в экспертную организацию</w:t>
            </w:r>
            <w:r w:rsidRPr="003013B5">
              <w:t xml:space="preserve"> об отзыве полученного ранее экспертного заключения. Повторное обращение должно содержать пояснения о причинах внесения существенных изменений в Техническое задание с документальным подтверждением (новое Техническое задание и другие обосновывающие документы).</w:t>
            </w:r>
          </w:p>
          <w:p w:rsidR="003013B5" w:rsidRPr="003013B5" w:rsidRDefault="003013B5" w:rsidP="006F7196">
            <w:pPr>
              <w:pStyle w:val="ConsPlusNormal"/>
            </w:pPr>
          </w:p>
          <w:p w:rsidR="003013B5" w:rsidRPr="00023B6C" w:rsidRDefault="003013B5" w:rsidP="006F7196">
            <w:pPr>
              <w:pStyle w:val="ConsPlusNormal"/>
            </w:pPr>
          </w:p>
          <w:p w:rsidR="00023B6C" w:rsidRPr="00023B6C" w:rsidRDefault="00023B6C" w:rsidP="006F7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Причины отклонения заявок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Default="00BD629C" w:rsidP="006F7196">
            <w:pPr>
              <w:pStyle w:val="ConsPlusNormal"/>
              <w:spacing w:before="220"/>
            </w:pPr>
            <w:r>
              <w:t xml:space="preserve">- </w:t>
            </w:r>
            <w:r w:rsidR="00BD5672">
              <w:t>Подача Заявителем заявки с НМЦ, не подлежащей проверке на достоверность определения НМЦ</w:t>
            </w:r>
            <w:r w:rsidR="00C719EC">
              <w:t>;</w:t>
            </w:r>
          </w:p>
          <w:p w:rsidR="00BD629C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33D4" w:rsidRPr="003033D4">
              <w:rPr>
                <w:rFonts w:ascii="Times New Roman" w:hAnsi="Times New Roman"/>
                <w:sz w:val="28"/>
                <w:szCs w:val="28"/>
              </w:rPr>
              <w:t>Отсутствие полного комплекта документов, необходимых для проверки достоверности определения НМЦ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2F06" w:rsidRDefault="00D82F06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33D4" w:rsidRPr="003033D4">
              <w:rPr>
                <w:rFonts w:ascii="Times New Roman" w:hAnsi="Times New Roman"/>
                <w:sz w:val="28"/>
                <w:szCs w:val="28"/>
              </w:rPr>
              <w:t>Наличие в представленных документах недостоверных и (или) противоречивых сведений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29C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33D4" w:rsidRPr="003033D4">
              <w:rPr>
                <w:rFonts w:ascii="Times New Roman" w:hAnsi="Times New Roman"/>
                <w:sz w:val="28"/>
                <w:szCs w:val="28"/>
              </w:rPr>
              <w:t>Подача Заявителем заявки в экспертную организацию не по предмету проверки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33D4" w:rsidRDefault="00BD629C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033D4" w:rsidRPr="003033D4">
              <w:rPr>
                <w:rFonts w:ascii="Times New Roman" w:hAnsi="Times New Roman"/>
                <w:sz w:val="28"/>
                <w:szCs w:val="28"/>
              </w:rPr>
              <w:t>Подписание заявки и иных документов в электронной форме с использованием электронной подписи с нарушением требований нормативных правовых актов Российской Федерации и города Москвы</w:t>
            </w:r>
            <w:r w:rsidR="003033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33D4" w:rsidRDefault="003033D4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033D4">
              <w:rPr>
                <w:rFonts w:ascii="Times New Roman" w:hAnsi="Times New Roman"/>
                <w:sz w:val="28"/>
                <w:szCs w:val="28"/>
              </w:rPr>
              <w:t>Подача Заявителем заявки на подтверждение ранее выданного заключения после признания определения поставщика (подрядчика, исполнителя) несостоявшимся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29C" w:rsidRDefault="003033D4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033D4">
              <w:rPr>
                <w:rFonts w:asciiTheme="minorHAnsi" w:hAnsiTheme="minorHAnsi" w:cstheme="minorBidi"/>
              </w:rPr>
              <w:t xml:space="preserve"> </w:t>
            </w:r>
            <w:r w:rsidRPr="003033D4">
              <w:rPr>
                <w:rFonts w:ascii="Times New Roman" w:hAnsi="Times New Roman"/>
                <w:sz w:val="28"/>
                <w:szCs w:val="28"/>
              </w:rPr>
              <w:t>Отсутствие информации об объемах и стоимости по годам для возможности выделения экономии по годам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BD629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Технического задания</w:t>
            </w:r>
            <w:r w:rsidR="00133AA0">
              <w:rPr>
                <w:rFonts w:ascii="Times New Roman" w:hAnsi="Times New Roman"/>
                <w:sz w:val="28"/>
                <w:szCs w:val="28"/>
              </w:rPr>
              <w:t xml:space="preserve"> (ТЗ)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D82F06">
              <w:rPr>
                <w:rFonts w:ascii="Times New Roman" w:hAnsi="Times New Roman"/>
                <w:sz w:val="28"/>
                <w:szCs w:val="28"/>
              </w:rPr>
              <w:t xml:space="preserve">спользование </w:t>
            </w:r>
            <w:r w:rsidR="00421EF4">
              <w:rPr>
                <w:rFonts w:ascii="Times New Roman" w:hAnsi="Times New Roman"/>
                <w:sz w:val="28"/>
                <w:szCs w:val="28"/>
              </w:rPr>
              <w:t>(</w:t>
            </w:r>
            <w:r w:rsidR="00D82F06"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="00421EF4">
              <w:rPr>
                <w:rFonts w:ascii="Times New Roman" w:hAnsi="Times New Roman"/>
                <w:sz w:val="28"/>
                <w:szCs w:val="28"/>
              </w:rPr>
              <w:t>)</w:t>
            </w:r>
            <w:r w:rsidR="00D82F06">
              <w:rPr>
                <w:rFonts w:ascii="Times New Roman" w:hAnsi="Times New Roman"/>
                <w:sz w:val="28"/>
                <w:szCs w:val="28"/>
              </w:rPr>
              <w:t xml:space="preserve"> типового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ТЗ</w:t>
            </w:r>
            <w:r w:rsidR="005D17D8">
              <w:rPr>
                <w:rFonts w:ascii="Times New Roman" w:hAnsi="Times New Roman"/>
                <w:sz w:val="28"/>
                <w:szCs w:val="28"/>
              </w:rPr>
              <w:t>, утвержденного в установленном порядке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Соответствие видов и состава работ, объемов/количества</w:t>
            </w:r>
            <w:r w:rsidR="008D0541">
              <w:rPr>
                <w:rFonts w:ascii="Times New Roman" w:hAnsi="Times New Roman"/>
                <w:sz w:val="28"/>
                <w:szCs w:val="28"/>
              </w:rPr>
              <w:t xml:space="preserve">, сроков </w:t>
            </w:r>
            <w:r>
              <w:rPr>
                <w:rFonts w:ascii="Times New Roman" w:hAnsi="Times New Roman"/>
                <w:sz w:val="28"/>
                <w:szCs w:val="28"/>
              </w:rPr>
              <w:t>и этапов во всех документах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0B5D">
              <w:rPr>
                <w:rFonts w:ascii="Times New Roman" w:hAnsi="Times New Roman"/>
                <w:sz w:val="28"/>
                <w:szCs w:val="28"/>
              </w:rPr>
              <w:t>Соответствие включенных работ</w:t>
            </w:r>
            <w:r w:rsidR="00D82F06">
              <w:rPr>
                <w:rFonts w:ascii="Times New Roman" w:hAnsi="Times New Roman"/>
                <w:sz w:val="28"/>
                <w:szCs w:val="28"/>
              </w:rPr>
              <w:t xml:space="preserve">/услуг </w:t>
            </w:r>
            <w:r w:rsidR="00FC0B5D">
              <w:rPr>
                <w:rFonts w:ascii="Times New Roman" w:hAnsi="Times New Roman"/>
                <w:sz w:val="28"/>
                <w:szCs w:val="28"/>
              </w:rPr>
              <w:t>Регламентам проведения работ</w:t>
            </w:r>
            <w:r w:rsidR="00D82F06">
              <w:rPr>
                <w:rFonts w:ascii="Times New Roman" w:hAnsi="Times New Roman"/>
                <w:sz w:val="28"/>
                <w:szCs w:val="28"/>
              </w:rPr>
              <w:t>/услуг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Default="00FC0B5D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2F06">
              <w:rPr>
                <w:rFonts w:ascii="Times New Roman" w:hAnsi="Times New Roman"/>
                <w:sz w:val="28"/>
                <w:szCs w:val="28"/>
              </w:rPr>
              <w:t>Указание на п</w:t>
            </w:r>
            <w:r>
              <w:rPr>
                <w:rFonts w:ascii="Times New Roman" w:hAnsi="Times New Roman"/>
                <w:sz w:val="28"/>
                <w:szCs w:val="28"/>
              </w:rPr>
              <w:t>редоставлени</w:t>
            </w:r>
            <w:r w:rsidR="00EE48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сопутствующих работ</w:t>
            </w:r>
            <w:r w:rsidR="00EE4820">
              <w:rPr>
                <w:rFonts w:ascii="Times New Roman" w:hAnsi="Times New Roman"/>
                <w:sz w:val="28"/>
                <w:szCs w:val="28"/>
              </w:rPr>
              <w:t>/услуг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11BC">
              <w:rPr>
                <w:rFonts w:ascii="Times New Roman" w:hAnsi="Times New Roman"/>
                <w:sz w:val="28"/>
                <w:szCs w:val="28"/>
              </w:rPr>
              <w:t>Указание т</w:t>
            </w:r>
            <w:r>
              <w:rPr>
                <w:rFonts w:ascii="Times New Roman" w:hAnsi="Times New Roman"/>
                <w:sz w:val="28"/>
                <w:szCs w:val="28"/>
              </w:rPr>
              <w:t>ехнически</w:t>
            </w:r>
            <w:r w:rsidR="000D11BC">
              <w:rPr>
                <w:rFonts w:ascii="Times New Roman" w:hAnsi="Times New Roman"/>
                <w:sz w:val="28"/>
                <w:szCs w:val="28"/>
              </w:rPr>
              <w:t>х характеристик по всем видам закупаемых товаров/работ/услуг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Приложение указанных в ТЗ чертежей, рисунков, схем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D62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29C" w:rsidRPr="00982358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Протокола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Протокол НМЦ оформляется в соответствии с Приложением 1 к 242-РП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629C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Указание на применение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НДС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в соответствии с Налоговым кодексом РФ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64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9C" w:rsidRPr="00982358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Расчета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Указание наименование закупки в заголовке расчета НМЦ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Обязательное указание единиц измерения, соблюдение правил написания и округления </w:t>
            </w:r>
            <w:r w:rsidR="00A92927">
              <w:rPr>
                <w:rFonts w:ascii="Times New Roman" w:hAnsi="Times New Roman"/>
                <w:sz w:val="28"/>
                <w:szCs w:val="28"/>
              </w:rPr>
              <w:t>чисел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сумм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3AA0" w:rsidRDefault="00133AA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расчете НМЦ сметны</w:t>
            </w:r>
            <w:r w:rsidR="00A859E2">
              <w:rPr>
                <w:rFonts w:ascii="Times New Roman" w:hAnsi="Times New Roman"/>
                <w:sz w:val="28"/>
                <w:szCs w:val="28"/>
              </w:rPr>
              <w:t>м методом неправомерное применение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сметно-нормати</w:t>
            </w:r>
            <w:r w:rsidR="00A859E2">
              <w:rPr>
                <w:rFonts w:ascii="Times New Roman" w:hAnsi="Times New Roman"/>
                <w:sz w:val="28"/>
                <w:szCs w:val="28"/>
              </w:rPr>
              <w:t>вной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баз</w:t>
            </w:r>
            <w:r w:rsidR="00A859E2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(расчет произведен не по СН-2012)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Разница цен коммерческих предложений по каждой позиции закупки не должна превышать 25% 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сопутствующих работ/услуг</w:t>
            </w:r>
            <w:r w:rsidR="005C2EB5">
              <w:rPr>
                <w:rFonts w:ascii="Times New Roman" w:hAnsi="Times New Roman"/>
                <w:sz w:val="28"/>
                <w:szCs w:val="28"/>
              </w:rPr>
              <w:t xml:space="preserve"> в процентной/денежной составляющей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Default="005C2EB5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Указание на применение НДС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в соответствии с Налоговым кодексом РФ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EB5" w:rsidRDefault="005C2EB5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статей накладных расходов</w:t>
            </w:r>
            <w:r w:rsidR="00F476D2">
              <w:rPr>
                <w:rFonts w:ascii="Times New Roman" w:hAnsi="Times New Roman"/>
                <w:sz w:val="28"/>
                <w:szCs w:val="28"/>
              </w:rPr>
              <w:t xml:space="preserve"> с расшифровкой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4820" w:rsidRDefault="00F476D2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расчете стоимости покомп</w:t>
            </w:r>
            <w:r w:rsidR="00421EF4">
              <w:rPr>
                <w:rFonts w:ascii="Times New Roman" w:hAnsi="Times New Roman"/>
                <w:sz w:val="28"/>
                <w:szCs w:val="28"/>
              </w:rPr>
              <w:t xml:space="preserve">лектно - </w:t>
            </w:r>
            <w:r w:rsidR="00EE4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27">
              <w:rPr>
                <w:rFonts w:ascii="Times New Roman" w:hAnsi="Times New Roman"/>
                <w:sz w:val="28"/>
                <w:szCs w:val="28"/>
              </w:rPr>
              <w:t>указание стоимости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состав</w:t>
            </w:r>
            <w:r w:rsidR="00EE4820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комплекта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3AA0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982358" w:rsidRDefault="00FC0B5D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коммерческих предложений (КП)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Default="00EE4820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Представление КП</w:t>
            </w:r>
            <w:r w:rsidR="00FC0B5D">
              <w:rPr>
                <w:rFonts w:ascii="Times New Roman" w:hAnsi="Times New Roman"/>
                <w:sz w:val="28"/>
                <w:szCs w:val="28"/>
              </w:rPr>
              <w:t xml:space="preserve"> на бланке организации, с номером, датой, печатью и подписью руководителя, со сроком действия цен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C0B5D" w:rsidRDefault="00FC0B5D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Актуальный срок действия цен на момент проведения проверки и торгов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3C52" w:rsidRDefault="00FC0B5D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4820">
              <w:rPr>
                <w:rFonts w:ascii="Times New Roman" w:hAnsi="Times New Roman"/>
                <w:sz w:val="28"/>
                <w:szCs w:val="28"/>
              </w:rPr>
              <w:t>Представление</w:t>
            </w:r>
            <w:r w:rsidRPr="00982358">
              <w:rPr>
                <w:rFonts w:ascii="Times New Roman" w:hAnsi="Times New Roman"/>
                <w:sz w:val="28"/>
                <w:szCs w:val="28"/>
              </w:rPr>
              <w:t xml:space="preserve"> расчет</w:t>
            </w:r>
            <w:r w:rsidR="00EE4820">
              <w:rPr>
                <w:rFonts w:ascii="Times New Roman" w:hAnsi="Times New Roman"/>
                <w:sz w:val="28"/>
                <w:szCs w:val="28"/>
              </w:rPr>
              <w:t>а</w:t>
            </w:r>
            <w:r w:rsidR="00A92927">
              <w:rPr>
                <w:rFonts w:ascii="Times New Roman" w:hAnsi="Times New Roman"/>
                <w:sz w:val="28"/>
                <w:szCs w:val="28"/>
              </w:rPr>
              <w:t xml:space="preserve"> обоснования НМЦ п</w:t>
            </w:r>
            <w:r w:rsidRPr="00982358">
              <w:rPr>
                <w:rFonts w:ascii="Times New Roman" w:hAnsi="Times New Roman"/>
                <w:sz w:val="28"/>
                <w:szCs w:val="28"/>
              </w:rPr>
              <w:t>о статьям затрат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расшифровкой к</w:t>
            </w:r>
            <w:r w:rsidR="00323C52">
              <w:rPr>
                <w:rFonts w:ascii="Times New Roman" w:hAnsi="Times New Roman"/>
                <w:sz w:val="28"/>
                <w:szCs w:val="28"/>
              </w:rPr>
              <w:t xml:space="preserve">аждой статьи </w:t>
            </w:r>
            <w:r w:rsidR="00323C52" w:rsidRPr="00323C52">
              <w:rPr>
                <w:rFonts w:ascii="Times New Roman" w:hAnsi="Times New Roman"/>
                <w:sz w:val="28"/>
                <w:szCs w:val="28"/>
              </w:rPr>
              <w:t xml:space="preserve">в соответствии с письмами ДЭПР от 01.06.2020 № ДПР-20-3/1-52/20 и от 04.06.2019 № ДПР-20-3/1-13/15  </w:t>
            </w:r>
          </w:p>
          <w:p w:rsidR="00FC0B5D" w:rsidRDefault="00FC0B5D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D0541">
              <w:rPr>
                <w:rFonts w:ascii="Times New Roman" w:hAnsi="Times New Roman"/>
                <w:sz w:val="28"/>
                <w:szCs w:val="28"/>
              </w:rPr>
              <w:t>При закупке большого количества позиц</w:t>
            </w:r>
            <w:r w:rsidR="00A92927">
              <w:rPr>
                <w:rFonts w:ascii="Times New Roman" w:hAnsi="Times New Roman"/>
                <w:sz w:val="28"/>
                <w:szCs w:val="28"/>
              </w:rPr>
              <w:t xml:space="preserve">ий указание каталожных номеров </w:t>
            </w:r>
            <w:r w:rsidR="008D0541">
              <w:rPr>
                <w:rFonts w:ascii="Times New Roman" w:hAnsi="Times New Roman"/>
                <w:sz w:val="28"/>
                <w:szCs w:val="28"/>
              </w:rPr>
              <w:t>закупаемых товаров</w:t>
            </w:r>
            <w:r w:rsidR="00C719E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D0541" w:rsidRDefault="008D0541" w:rsidP="00A929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76D2">
              <w:rPr>
                <w:rFonts w:ascii="Times New Roman" w:hAnsi="Times New Roman"/>
                <w:sz w:val="28"/>
                <w:szCs w:val="28"/>
              </w:rPr>
              <w:t>Указа</w:t>
            </w:r>
            <w:r w:rsidR="005C2EB5">
              <w:rPr>
                <w:rFonts w:ascii="Times New Roman" w:hAnsi="Times New Roman"/>
                <w:sz w:val="28"/>
                <w:szCs w:val="28"/>
              </w:rPr>
              <w:t xml:space="preserve">ние на </w:t>
            </w:r>
            <w:r w:rsidR="00421EF4">
              <w:rPr>
                <w:rFonts w:ascii="Times New Roman" w:hAnsi="Times New Roman"/>
                <w:sz w:val="28"/>
                <w:szCs w:val="28"/>
              </w:rPr>
              <w:t xml:space="preserve">процент </w:t>
            </w:r>
            <w:r w:rsidR="005C2EB5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мпортн</w:t>
            </w:r>
            <w:r w:rsidR="00421EF4">
              <w:rPr>
                <w:rFonts w:ascii="Times New Roman" w:hAnsi="Times New Roman"/>
                <w:sz w:val="28"/>
                <w:szCs w:val="28"/>
              </w:rPr>
              <w:t>ой</w:t>
            </w:r>
            <w:r w:rsidR="005C2EB5">
              <w:rPr>
                <w:rFonts w:ascii="Times New Roman" w:hAnsi="Times New Roman"/>
                <w:sz w:val="28"/>
                <w:szCs w:val="28"/>
              </w:rPr>
              <w:t xml:space="preserve"> составляющ</w:t>
            </w:r>
            <w:r w:rsidR="00421EF4">
              <w:rPr>
                <w:rFonts w:ascii="Times New Roman" w:hAnsi="Times New Roman"/>
                <w:sz w:val="28"/>
                <w:szCs w:val="28"/>
              </w:rPr>
              <w:t>ей товара</w:t>
            </w:r>
            <w:r w:rsidR="005C2EB5">
              <w:rPr>
                <w:rFonts w:ascii="Times New Roman" w:hAnsi="Times New Roman"/>
                <w:sz w:val="28"/>
                <w:szCs w:val="28"/>
              </w:rPr>
              <w:t>,</w:t>
            </w:r>
            <w:r w:rsidR="00C719EC">
              <w:rPr>
                <w:rFonts w:ascii="Times New Roman" w:hAnsi="Times New Roman"/>
                <w:sz w:val="28"/>
                <w:szCs w:val="28"/>
              </w:rPr>
              <w:t>страну происхождения  и валюту.</w:t>
            </w:r>
          </w:p>
        </w:tc>
      </w:tr>
      <w:tr w:rsidR="00133AA0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AA0" w:rsidRPr="00982358" w:rsidRDefault="008D0541" w:rsidP="006F7196">
            <w:pPr>
              <w:spacing w:after="200"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закупки у единственного поставщика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541" w:rsidRDefault="008D0541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6F7196">
              <w:rPr>
                <w:rFonts w:ascii="Times New Roman" w:hAnsi="Times New Roman"/>
                <w:sz w:val="28"/>
                <w:szCs w:val="28"/>
              </w:rPr>
              <w:t>- Перечень документов в соответствии с письмом ДЭПР от 16.02.2015 № ДПР -20-3/1-13/14</w:t>
            </w:r>
            <w:r w:rsidR="00C719EC" w:rsidRPr="006F71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649C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9C" w:rsidRDefault="009F2D08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уровня заработной платы в расчете НМЦ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B32" w:rsidRDefault="002654F1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уровня зарплаты </w:t>
            </w:r>
            <w:r w:rsidR="00A92927">
              <w:rPr>
                <w:rFonts w:ascii="Times New Roman" w:hAnsi="Times New Roman"/>
                <w:sz w:val="28"/>
                <w:szCs w:val="28"/>
              </w:rPr>
              <w:t>с учетом</w:t>
            </w:r>
            <w:r w:rsidR="009F2D08" w:rsidRPr="004C579E">
              <w:rPr>
                <w:rFonts w:ascii="Times New Roman" w:hAnsi="Times New Roman"/>
                <w:sz w:val="28"/>
                <w:szCs w:val="28"/>
              </w:rPr>
              <w:t xml:space="preserve"> вида экономической деятельности, к которой </w:t>
            </w:r>
            <w:r w:rsidR="009F2D08">
              <w:rPr>
                <w:rFonts w:ascii="Times New Roman" w:hAnsi="Times New Roman"/>
                <w:sz w:val="28"/>
                <w:szCs w:val="28"/>
              </w:rPr>
              <w:t xml:space="preserve">относится </w:t>
            </w:r>
            <w:r w:rsidR="009F2D08" w:rsidRPr="004C579E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5D17D8">
              <w:rPr>
                <w:rFonts w:ascii="Times New Roman" w:hAnsi="Times New Roman"/>
                <w:sz w:val="28"/>
                <w:szCs w:val="28"/>
              </w:rPr>
              <w:t xml:space="preserve"> и данных Мосгорстата за соответствующий период.</w:t>
            </w:r>
          </w:p>
          <w:p w:rsidR="009F2D08" w:rsidRDefault="009F2D08" w:rsidP="006F7196">
            <w:pPr>
              <w:rPr>
                <w:rFonts w:ascii="Times New Roman" w:hAnsi="Times New Roman"/>
                <w:sz w:val="28"/>
                <w:szCs w:val="28"/>
              </w:rPr>
            </w:pPr>
            <w:r w:rsidRPr="004C579E">
              <w:rPr>
                <w:rFonts w:ascii="Times New Roman" w:hAnsi="Times New Roman"/>
                <w:sz w:val="28"/>
                <w:szCs w:val="28"/>
              </w:rPr>
              <w:t>Подробно</w:t>
            </w:r>
            <w:r>
              <w:rPr>
                <w:rFonts w:ascii="Times New Roman" w:hAnsi="Times New Roman"/>
                <w:sz w:val="28"/>
                <w:szCs w:val="28"/>
              </w:rPr>
              <w:t>е указание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27" w:rsidRPr="004C579E">
              <w:rPr>
                <w:rFonts w:ascii="Times New Roman" w:hAnsi="Times New Roman"/>
                <w:sz w:val="28"/>
                <w:szCs w:val="28"/>
              </w:rPr>
              <w:t>р</w:t>
            </w:r>
            <w:r w:rsidR="00A92927">
              <w:rPr>
                <w:rFonts w:ascii="Times New Roman" w:hAnsi="Times New Roman"/>
                <w:sz w:val="28"/>
                <w:szCs w:val="28"/>
              </w:rPr>
              <w:t>олевой</w:t>
            </w:r>
            <w:r w:rsidR="00A92927" w:rsidRPr="004C5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927">
              <w:rPr>
                <w:rFonts w:ascii="Times New Roman" w:hAnsi="Times New Roman"/>
                <w:sz w:val="28"/>
                <w:szCs w:val="28"/>
              </w:rPr>
              <w:t>модели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 выполнения работ/оказания услуг с учетом классификатора видов экономической деятельности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337D" w:rsidRPr="00D6337D" w:rsidTr="00023B6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8A" w:rsidRDefault="007D1CB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для расчета НМЦ </w:t>
            </w:r>
            <w:r w:rsidR="00F5788A" w:rsidRPr="004C579E">
              <w:rPr>
                <w:rFonts w:ascii="Times New Roman" w:hAnsi="Times New Roman"/>
                <w:sz w:val="28"/>
                <w:szCs w:val="28"/>
              </w:rPr>
              <w:t xml:space="preserve">Методики расчета стоимости нормативно-методических, проектных и других видов работ (услуг), осуществляемых с привлечением средств бюджета города Москвы (на основании нормируемых трудозатрат) </w:t>
            </w:r>
          </w:p>
          <w:p w:rsidR="0037404F" w:rsidRPr="004C579E" w:rsidRDefault="0037404F" w:rsidP="006F71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37D" w:rsidRPr="004C579E" w:rsidRDefault="007D1CBC" w:rsidP="006F7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 xml:space="preserve">боснованное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r w:rsidRPr="004C579E">
              <w:rPr>
                <w:rFonts w:ascii="Times New Roman" w:hAnsi="Times New Roman"/>
                <w:sz w:val="28"/>
                <w:szCs w:val="28"/>
              </w:rPr>
              <w:t>коэффициентов квалификации (участия) исполнителей в работах, при расчете НМЦК с использованием Методики расчета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753A3" w:rsidRPr="000753A3">
              <w:rPr>
                <w:rFonts w:ascii="Times New Roman" w:hAnsi="Times New Roman"/>
                <w:sz w:val="28"/>
                <w:szCs w:val="28"/>
              </w:rPr>
              <w:t>МРР-9.1.02-18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719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17B2" w:rsidRDefault="001E17B2"/>
    <w:sectPr w:rsidR="001E17B2" w:rsidSect="00D633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2E" w:rsidRDefault="008F712E" w:rsidP="00BD629C">
      <w:r>
        <w:separator/>
      </w:r>
    </w:p>
  </w:endnote>
  <w:endnote w:type="continuationSeparator" w:id="0">
    <w:p w:rsidR="008F712E" w:rsidRDefault="008F712E" w:rsidP="00BD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2E" w:rsidRDefault="008F712E" w:rsidP="00BD629C">
      <w:r>
        <w:separator/>
      </w:r>
    </w:p>
  </w:footnote>
  <w:footnote w:type="continuationSeparator" w:id="0">
    <w:p w:rsidR="008F712E" w:rsidRDefault="008F712E" w:rsidP="00BD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12"/>
    <w:rsid w:val="00023B6C"/>
    <w:rsid w:val="000753A3"/>
    <w:rsid w:val="000D11BC"/>
    <w:rsid w:val="00133AA0"/>
    <w:rsid w:val="001B2AFD"/>
    <w:rsid w:val="001C749A"/>
    <w:rsid w:val="001E0054"/>
    <w:rsid w:val="001E17B2"/>
    <w:rsid w:val="002654F1"/>
    <w:rsid w:val="0026649C"/>
    <w:rsid w:val="002A2211"/>
    <w:rsid w:val="003013B5"/>
    <w:rsid w:val="003033D4"/>
    <w:rsid w:val="00323C52"/>
    <w:rsid w:val="0037404F"/>
    <w:rsid w:val="00421EF4"/>
    <w:rsid w:val="004465A0"/>
    <w:rsid w:val="00476CD5"/>
    <w:rsid w:val="0048780C"/>
    <w:rsid w:val="004C579E"/>
    <w:rsid w:val="004F4F2A"/>
    <w:rsid w:val="00522569"/>
    <w:rsid w:val="005C2EB5"/>
    <w:rsid w:val="005D17D8"/>
    <w:rsid w:val="0069137F"/>
    <w:rsid w:val="006B4435"/>
    <w:rsid w:val="006C0767"/>
    <w:rsid w:val="006C1387"/>
    <w:rsid w:val="006F7196"/>
    <w:rsid w:val="00745FCC"/>
    <w:rsid w:val="00763521"/>
    <w:rsid w:val="007A7B90"/>
    <w:rsid w:val="007D1CBC"/>
    <w:rsid w:val="007E789C"/>
    <w:rsid w:val="008545A3"/>
    <w:rsid w:val="008B41BE"/>
    <w:rsid w:val="008D0541"/>
    <w:rsid w:val="008F712E"/>
    <w:rsid w:val="00982358"/>
    <w:rsid w:val="009A2B32"/>
    <w:rsid w:val="009E6B4A"/>
    <w:rsid w:val="009F2D08"/>
    <w:rsid w:val="00A77415"/>
    <w:rsid w:val="00A859E2"/>
    <w:rsid w:val="00A92927"/>
    <w:rsid w:val="00A96BE3"/>
    <w:rsid w:val="00AC75B9"/>
    <w:rsid w:val="00B200E7"/>
    <w:rsid w:val="00B81A5F"/>
    <w:rsid w:val="00B91B0B"/>
    <w:rsid w:val="00BA37FD"/>
    <w:rsid w:val="00BD5672"/>
    <w:rsid w:val="00BD629C"/>
    <w:rsid w:val="00C15B83"/>
    <w:rsid w:val="00C16912"/>
    <w:rsid w:val="00C719EC"/>
    <w:rsid w:val="00CE4D3D"/>
    <w:rsid w:val="00D61380"/>
    <w:rsid w:val="00D6337D"/>
    <w:rsid w:val="00D82F06"/>
    <w:rsid w:val="00DD4298"/>
    <w:rsid w:val="00E7358B"/>
    <w:rsid w:val="00E757C3"/>
    <w:rsid w:val="00EA4518"/>
    <w:rsid w:val="00EE4820"/>
    <w:rsid w:val="00F476D2"/>
    <w:rsid w:val="00F5773B"/>
    <w:rsid w:val="00F5788A"/>
    <w:rsid w:val="00F94899"/>
    <w:rsid w:val="00FC0B5D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9714-1918-486F-98DF-78DC93FE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4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29C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29C"/>
    <w:rPr>
      <w:rFonts w:ascii="Calibri" w:hAnsi="Calibri" w:cs="Times New Roman"/>
    </w:rPr>
  </w:style>
  <w:style w:type="character" w:styleId="a9">
    <w:name w:val="Hyperlink"/>
    <w:basedOn w:val="a0"/>
    <w:uiPriority w:val="99"/>
    <w:unhideWhenUsed/>
    <w:rsid w:val="00AC7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Любовь Нодаревна</dc:creator>
  <cp:lastModifiedBy>Рачугина Галина Вениаминовна</cp:lastModifiedBy>
  <cp:revision>2</cp:revision>
  <cp:lastPrinted>2021-08-05T10:18:00Z</cp:lastPrinted>
  <dcterms:created xsi:type="dcterms:W3CDTF">2021-08-06T14:36:00Z</dcterms:created>
  <dcterms:modified xsi:type="dcterms:W3CDTF">2021-08-06T14:36:00Z</dcterms:modified>
</cp:coreProperties>
</file>